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303 vom 25. September 1985</w:t>
      </w:r>
    </w:p>
    <w:p>
      <w:r>
        <w:t>Bundesgericht (BGE), 1985-09-25, DE</w:t>
      </w:r>
    </w:p>
    <w:p>
      <w:r>
        <w:rPr>
          <w:b/>
        </w:rPr>
        <w:t xml:space="preserve">Quelle: </w:t>
      </w:r>
      <w:r>
        <w:t>https://mcp.opencaselaw.ch/entscheid/bge_111 IA 303</w:t>
      </w:r>
    </w:p>
    <w:p>
      <w:r>
        <w:t>FR: BGE 111 IA 303 du 25 septembre 1985</w:t>
      </w:r>
    </w:p>
    <w:p>
      <w:r>
        <w:t>IT: BGE 111 IA 303 del 25 settembre 1985</w:t>
      </w:r>
    </w:p>
    <w:p>
      <w:pPr>
        <w:pStyle w:val="Heading2"/>
      </w:pPr>
      <w:r>
        <w:t>Regeste</w:t>
      </w:r>
    </w:p>
    <w:p>
      <w:r>
        <w:t>Regeste Art. 85 lit. a OG: Ungültigkeit einer Initiative; Kompetenzabgrenzung Bund - Kantone auf dem Gebiet der Atomgesetzgebung; Vereinbarkeit mit kantonalem Recht. 1. Befugnis zur Prüfung einer Initiative auf deren materielle Rechtmässigkeit (E. 3). 2. Auslegung von Initiativbegehren (E. 4). 3. Kompetenzabgrenzung zwischen Bund und Kantonen auf dem Gebiet der Gesetzgebung betreffend Atomanlagen (E. 5). 4. Die Bündner Volksinitiative für den Erlass eines Gesetzes gegen Atomanlagen und -lagerstätten widerspricht sowohl dem Bundesrecht (E. 6) als auch dem übergeordneten kantonalen Recht (E. 7).</w:t>
      </w:r>
    </w:p>
    <w:p>
      <w:pPr>
        <w:pStyle w:val="Heading2"/>
      </w:pPr>
      <w:r>
        <w:t>Erwägungen</w:t>
      </w:r>
    </w:p>
    <w:p>
      <w:r>
        <w:rPr>
          <w:b/>
        </w:rPr>
        <w:t>E. 3</w:t>
      </w:r>
    </w:p>
    <w:p>
      <w:r>
        <w:t>Nach konstanter Praxis des Bundesgerichts ist diejenige kantonale Behörde, welche nach kantonalem Recht zur Anordnung einer Volksabstimmung über Verfassungs- und Gesetzesinitiativen berufen ist, befugt, neben dem Vorliegen der formellen Voraussetzungen über das Zustandekommen der Initiative auch deren materielle Rechtmässigkeit zu prüfen. Ob die Behörde zu dieser Prüfung der inhaltlichen Rechtmässigkeit der Initiative auch verpflichtet ist, hängt vom kantonalen Recht ab ( BGE 110 Ia 175 E. 3b, BGE 105 Ia 12 E. 2a, 364, mit Hinweisen). Im vorliegenden Fall ergibt sich die Befugnis des Grossen Rates zur Prüfung der materiellen Rechtmässigkeit der Initiative klarerweise aus Art. 55 des Gesetzes über die Ausübung der politischen Rechte im Kanton Graubünden vom 7. Oktober 1962 (GPR). Die Beschwerdeführer erblicken daher im Umstand, dass der Grosse Rat überhaupt eine Überprüfung der Initiative auf deren Rechtmässigkeit vorgenommen hat, auch keine Verfassungsverletzung.</w:t>
      </w:r>
    </w:p>
    <w:p>
      <w:r>
        <w:rPr>
          <w:b/>
        </w:rPr>
        <w:t>E. 4</w:t>
      </w:r>
    </w:p>
    <w:p>
      <w:r>
        <w:t>Für die Beurteilung der materiellen Rechtmässigkeit einer Initiative ist deren Text nach den anerkannten Interpretationsgrundsätzen auszulegen. Grundsätzlich ist vom Wortlaut der Initiative auszugehen und nicht auf den subjektiven Willen der Initianten abzustellen. Eine allfällige Begründung des Volksbegehrens und Meinungsäusserungen der Initianten dürfen allerdings mit berücksichtigt werden ( BGE 105 Ia 154 E. 3a, BGE 105 Ia 366 E. 4). Es ist von verschiedenen Auslegungsmöglichkeiten jene zu wählen, welche einerseits dem Sinn und Zweck der Initiative am besten entspricht und zu einem vernünftigen Ergebnis führt und welche andererseits im Sinne der verfassungskonformen Auslegung mit dem übergeordneten Recht von Bund und Kanton vereinbar BGE 111 Ia 303 S. 306 erscheint ( BGE 105 Ia 154 E. 3a, BGE 105 Ia 366 E. 4, BGE 104 Ia 250 oben, BGE 103 Ia 426 oben). Kann der Initiative ein Sinn beigemessen werden, der sie nicht klarerweise als unzulässig erscheinen lässt, ist sie als gültig zu erklären und der Volksabstimmung zu unterstellen ( BGE 104 Ia 348 E. 4).</w:t>
      </w:r>
    </w:p>
    <w:p>
      <w:r>
        <w:rPr>
          <w:b/>
        </w:rPr>
        <w:t>E. 5</w:t>
      </w:r>
    </w:p>
    <w:p>
      <w:r>
        <w:t>Nach der Auffassung des Grossen Rates steht die hier streitige Initiative mit dem Bundesrecht, insbesondere mit der Atomgesetzgebung, im Widerspruch. Für die Beurteilung der Bundesrechtmässigkeit ist daher vorerst die Kompetenzaufteilung zwischen Bund und Kantonen, wie sie sich aus der Bundesverfassung und der Atomgesetzgebung des Bundes ergibt, zu prüfen. a) Gemäss Art. 24quinquies Abs. 1 BV ist die Gesetzgebung auf dem Gebiet der Atomenergie Bundessache; Abs. 2 dieser Bestimmung gibt dem Bund die Kompetenz, Vorschriften über den Schutz vor den Gefahren ionisierender Strahlen zu erlassen. Auf diese Kompetenz stützt sich das Bundesgesetz vom 23. Dezember 1959 über die friedliche Verwendung der Atomenergie und den Strahlenschutz (AtG; SR 732.0). Nach Art. 4 Abs. 1 AtG bedürfen die Erstellung und der Betrieb sowie jede Änderung des Zwecks, der Art und des Umfanges einer Atomanlage einer Bewilligung des Bundes. Unter Atomanlagen werden Einrichtungen zur Erzeugung von Atomenergie oder zur Gewinnung, Aufbereitung, Lagerung oder Unschädlichmachung von radioaktiven Kernbrennstoffen und Rückständen verstanden ( Art. 1 Abs. 2 AtG ). Diese Bewilligung, welche in der Praxis in verschiedene Teilbewilligungen aufgeteilt wurde (vgl. BGE 103 Ia 335 ), ist zu verweigern oder von der Erfüllung geeigneter Bedingungen oder Auflagen abhängig zu machen, wenn dies notwendig ist zur Wahrung der äusseren Sicherheit der Schweiz, zur Einhaltung der von ihr übernommenen völkerrechtlichen Verpflichtungen oder zum Schutz von Menschen, fremden Sachen oder wichtigen Rechtsgütern ( Art. 5 Abs. 1 AtG ). Art. 7 AtG schreibt betreffend das Verfahren vor, dass das Gesuch von einem ausführlichen technischen Bericht begleitet sein muss und dass die Bewilligungsbehörde ein Gutachten darüber einzuholen hat, ob das Projekt alle zumutbaren Massnahmen zum Schutz von Menschen, Sachen und wichtigen Rechtsgütern vorsieht; ausserdem ist die Stellungnahme des betreffenden Kantons einzuholen, in dem die Atomanlage erstellt werden soll. Das Bundesgericht hat wiederholt festgehalten, dass dem Bund gestützt auf Art. 24quinquies BV eine umfassende Kompetenz zur Gesetzgebung auf dem Gebiet der Atomenergie zusteht. Den Kantonen BGE 111 Ia 303 S. 307 kommt in dem von der Atomgesetzgebung des Bundes geregelten Bereich keine Rechtsetzungsbefugnis mehr zu ( BGE 111 Ib 105 E. 5a; BGE 103 Ia 336 E. 3b; 102 Ia 135 E. 4; BGE 99 Ia 256 E. 5b). Angesichts der Bedeutung der Nutzung von Kernenergie sowie im Hinblick auf die damit verbundenen besondern Probleme erwies es sich als unumgänglich, für die Erstellung und den Betrieb von Atomanlagen einheitliche bundesrechtliche Vorschriften zu erlassen und deren Vollzug den Organen des Bundes zu übertragen. Diese Kompetenzordnung soll einerseits gewährleisten, dass beim Bau und Betrieb von Atomanlagen sämtliche nach dem neuesten Stand von Wissenschaft und Technik möglichen und notwendigen Schutzmassnahmen getroffen werden; sie soll aber andererseits auch verhindern, dass die im gesamten Landesinteresse liegende Nutzung der Kernenergie durch unsachgerechte Bedingungen und Auflagen erschwert wird. Insoweit dient das AtG auch dem Zweck, die Nutzung der Kernenergie zu fördern und den Bau von Atomkraftwerken zu ermöglichen ( BGE 103 Ia 336 E. 3a; BGE 99 Ia 256 E. 5b). Der Bundesgesetzgeber hat indessen davon abgesehen, die Errichtung und den Betrieb von Atomanlagen zu einer Bundesaufgabe zu machen. Er hat dies vielmehr der Privatwirtschaft überlassen (vgl. BGE 111 Ib 105 E. 5a; BGE 103 Ia 336 f.). Die Errichtung und der Betrieb von Atomanlagen bedürfen aber einer Bewilligung des Bundes nach Art. 4 ff. AtG . In diesem Verfahren sind die mit dem Bau und dem Betrieb von Atomanlagen verbundenen Fragen abschliessend zu beurteilen. Diese können daher nicht Gegenstand eines zusätzlichen kantonalen Bewilligungsverfahrens bilden. Der betreffende Kanton kann demnach den Bau und Betrieb einer Atomanlage nicht verbieten unter Geltendmachung öffentlicher Interessen, deren Wahrung ins bundesrechtliche Bewilligungsverfahren verwiesen ist oder die nach der gesetzlichen Ordnung nicht massgebend sein sollen ( BGE 111 Ib 105 E. 5a; BGE 103 Ia 340 E. 5b; BGE 102 Ia 135 f.; BGE 99 Ia 257 E. 5c). Von den bundesrechtlich abschliessend geregelten Fragen sind hingegen die der kantonalen Kompetenz nach wie vor unterstehenden Befugnisse, insbesondere die Beurteilung der raumplanungsrechtlichen, baupolizeilichen und gewässerschutzrechtlichen Belange, zu unterscheiden. Art. 4 Abs. 3 AtG behält - wie der Wortlaut sagt - die polizeilichen Befugnisse des Bundes und der Kantone, insbesondere mit Bezug auf die Bau-, Feuer- und Gewässerpolizei, ausdrücklich vor. Das Bundesgericht hat im Entscheid Verbois klargestellt, dass sich dieser Vorbehalt auch auf die kantonale BGE 111 Ia 303 S. 308 Zonenordnung - die Nutzungsplanung im Sinne der heutigen Terminologie - bezieht ( BGE 103 Ia 341 f. E. 5d). Die Raumplanung ist im Rahmen der bundesrechtlichen Prinzipien gemäss Art. 22quater BV durch die Kantone zu schaffen. Die Verpflichtung, für die Errichtung und den Betrieb von Atomanlagen eine Bewilligung des Bundes einzuholen, schliesst es demnach nicht aus, Atomanlagen auch einem kantonalen Bewilligungsverfahren zu unterstellen. Die kantonale Regelung bleibt in dem Masse bestehen, als sie nicht mit dem Sinn und Zweck des Gesetzes unvereinbar ist ( BGE 103 Ia 344 E. 5e). Nach wie vor gilt aber, dass die im bundesrechtlichen Bewilligungsverfahren abschliessend beurteilten Fragen im kantonalen Verfahren nicht wieder aufgeworfen werden können und dass dieses nicht als Instrument zur Verhinderung der Errichtung von Atomanlagen missbraucht werden darf ( BGE 111 Ib 106 E. b). Die kantonalen Kompetenzen dürfen nicht als Vorwand für Übergriffe in den Bereich anderer Anliegen verwendet werden (vgl. PETER SALADIN, Bund und Kantone, in: ZSR 103/1984 II S. 460). b) An dieser Kompetenzaufteilung zwischen Bund und Kantonen hat der Bundesbeschluss vom 6. Oktober 1978 zum Atomgesetz (BB AtG; SR 732.01) grundsätzlich nichts geändert. Mit dem Beschluss ist das atomrechtliche Bewilligungsverfahren ausgebaut und die Rahmenbewilligung eingeführt worden, welche nun auch die Standortbewilligung umfasst. Die Erteilung der Rahmenbewilligung obliegt dem Bundesrat und bedarf der Genehmigung der Bundesversammlung ( Art. 8 BB AtG ). Auch bei dieser Bewilligung ist der Gesetzgeber davon ausgegangen, es handle sich um eine - in mancher Hinsicht freilich besonders gelagerte - Polizeibewilligung für die grundsätzlich auf privatwirtschaftlicher Basis zu lösende Aufgabe der Energieerzeugung und -versorgung. Der Bundesrat beabsichtigte im Entwurf für den Bundesbeschluss zum Atomgesetz, mit der Rahmenbewilligung den Standort der Atomanlage in einer die Kantone bindenden Weise festzulegen; damit sollte Missbräuchen und der missbräuchlichen Verhinderung von Endlagerstätten entgegengetreten werden. Dieser Vorbehalt wurde indessen in der parlamentarischen Beratung gestrichen, in der Meinung, dass am Rechtszustand, wie er durch den Bundesgerichtsentscheid Verbois festgestellt worden ist, nichts geändert werden soll. Auch die Verpflichtung, nach Art. 6 BB AtG Gutachten einzuholen, die sich u.a. über den Schutz von Menschen, fremden Sachen und wichtigen Rechtsgütern einschliesslich der BGE 111 Ia 303 S. 309 Erfordernisse des Umweltschutzes, des Natur- und Heimatschutzes sowie der Raumplanung aussprechen, beseitigt die kantonalen Zuständigkeiten auf diesen Gebieten nicht. Atomanlagen, d.h. Einrichtungen zur Erzeugung von Atomenergie oder zur Gewinnung, Aufbereitung, Lagerung oder Unschädlichmachung von radioaktiven Kernbrennstoffen und Rückständen, bedürfen daher ausser der Rahmenbewilligung und der weitern atomrechtlichen Bau- und Betriebsbewilligungen auch der sonstigen vom Bundesrecht geforderten Spezialbewilligungen (z.B. Rodungsbewilligungen) sowie der von den Kantonen zu erteilenden planungs- und baupolizeilichen Bewilligungen (vgl. BGE 111 Ib 106 E. b mit Hinweisen auf Entstehungsgeschichte und Doktrin). c) Schliesslich stellt sich die Frage nach der Kompetenzaufteilung zwischen Bund und Kantonen in bezug auf vorbereitende Handlungen zur Erstellung eines Lagers für radioaktive Abfälle. Der Bundesgesetzgeber ging entsprechend der grundsätzlich privatwirtschaftlichen Lösung der friedlichen Nutzung der Kernenergie davon aus, dass auch das Problem der radioaktiven Abfälle durch deren Erzeuger selbst zu lösen sei. Endlager bedürfen wie andere Atomanlagen einer Bewilligung der Bundesbehörden. Der Bund soll in einem besondern Verfahren die Bewilligung für vorbereitende Handlungen erteilen und nötigenfalls den Erzeugern radioaktiver Abfälle das Enteignungsrecht übertragen können. Der Bundesrat regelte das Verfahren aufgrund von Art. 10 BB AtG in der Verordnung vom 24. Oktober 1979 über vorbereitende Handlungen im Hinblick auf die Errichtung eines Lagers für radioaktive Abfälle (Verordnung über vorbereitende Handlungen; SR 732.012). Darin ist umschrieben, was unter vorbereitenden Handlungen zu verstehen ist und welche Angaben und Beilagen das Bewilligungsgesuch zu enthalten hat. Das Gesuch ist den Kantonen und zuständigen Fachstellen des Bundes zur Vernehmlassung zu unterbreiten sowie öffentlich aufzulegen ( BGE 111 Ib 109 E. b mit Hinweisen). Aus den bundesrechtlichen Vorschriften geht nicht ausdrücklich hervor, ob mit der bundesrätlichen Bewilligung sämtliche Voraussetzungen für die Vornahme von vorbereitenden Handlungen gegeben seien und ob allenfalls ein kantonales Bewilligungsverfahren entfalle, in welchem u.a. über raumplanungsrechtliche Gesichtspunkt zu entscheiden wäre. Das Bundesgericht hat in seinem Urteil NAGRA dazu Stellung genommen und entschieden, dass auch für vorbereitende Handlungen ein kantonales Bewilligungsverfahren BGE 111 Ia 303 S. 310 durchzuführen sei. Dies bedeutet, dass die kantonalen Kompetenzen auch in diesem Bereich der vorbereitenden Handlungen nicht beseitigt worden sind und dass die Kompetenzabgrenzung zwischen Bund und Kantonen gegenüber der Rechtslage, wie sie sich aus dem Entscheid Verbois ergibt, grundsätzlich unverändert geblieben ist ( BGE 111 Ib 109 E. b mit Hinweisen).</w:t>
      </w:r>
    </w:p>
    <w:p>
      <w:r>
        <w:rPr>
          <w:b/>
        </w:rPr>
        <w:t>E. 6</w:t>
      </w:r>
    </w:p>
    <w:p>
      <w:r>
        <w:t>a) Bei der Beurteilung der Bundesrechtmässigkeit der Initiative ist vorerst in terminologischer Hinsicht darauf hinzuweisen, dass sie sich im Titel gegen "Atomanlagen und -lagerstätten" und im Text selber gegen "Atomkraftwerke, Aufbereitungsanlagen für Kernbrennstoffe und Lagerstätten für radioaktive Abfälle" richtet. Der Initiativtext weicht damit von der Begriffsbestimmung in Art. 1 Abs. 2 AtG ab, wonach unter Atomanlagen Einrichtungen zur Erzeugung von Atomenergie oder zur Gewinnung, Aufbereitung, Lagerung oder Unschädlichmachung von radioaktiven Kernbrennstoffen und Rückständen verstanden werden. Dieser Umstand ist für die Beurteilung der Rechtmässigkeit der Initiative nicht von Bedeutung, und diese ist demnach so zu verstehen, dass sie ganz allgemein Atomanlagen im Sinne des Atomgesetzes zum Gegenstand hat. b) Die Beschwerdeführer und das von ihnen beigelegte Kurzgutachten von Prof. Andreas Auer (Kurzgutachten zur Frage der Rechtmässigkeit der kantonalen Volksinitiative für ein Gesetz gegen Atomanlagen und -lagerstätten, publiziert in: Zeitschrift für Gesetzgebung und Rechtsprechung in Graubünden, ZGRG 1984 Heft 4 S. 74 ff.) weisen darauf hin, dass in andern Kantonen ähnliche Initiativen wie die im vorliegenden Fall streitige angenommen worden sind. Sie behaupten allerdings selber nicht, dass diese Tatsache allein die Bundesrechtmässigkeit der Bündner Initiative begründe; doch sehen sie darin ein gewichtiges Indiz. Denn ihrer Ansicht nach wäre es bei der Annahme der Bundesrechtswidrigkeit solcher Erlasse gewissermassen die Pflicht des Bundesrates gewesen, gegen solche Gesetze gestützt auf Art. 83 lit. a OG staatsrechtliche Klage zu erheben. Die Frage, ob dem Bundesrat nach Art. 102 Ziff. 2 BV geradezu eine Pflicht zukommt, gegen bundesrechtswidrige kantonale Erlasse staatsrechtliche Klage zu erheben, wird in der Doktrin nicht beantwortet; es wird im allgemeinen lediglich darauf hingewiesen, dass dieser Weg selten beschritten wird (vgl. ANDREAS AUER, La juridiction constitutionnelle en Suisse, S. 265 f.; JEAN-FRANÇOIS AUBERT, Traité de droit constitutionnel suisse, S. 581 Nr. 1621; WALTHER BURCKHARDT, Kommentar zur Bundesverfassung, 3. Auflage 1931, S. 734). BGE 111 Ia 303 S. 311 Die Frage kann indessen offengelassen werden. Aus der Tatsache allein, dass ähnliche Erlasse anderer Kantone nicht mit staatsrechtlicher Klage angefochten worden sind, lässt sich die Bundesrechtmässigkeit der hier allein zu beurteilenden streitigen Initiative nicht ableiten. c) Der Grosse Rat führt in seiner Vernehmlassung aus, die Verweigerung der vom Bundesrecht geforderten kantonalen Mitwirkung in Atomenergieangelegenheiten und die zum vornherein durch die Initiative geforderte negative Haltung in diesen Bereichen widersprächen nicht nur dem positiven Bundesrecht, sondern verletzten auch die bundesrechtliche Treuepflicht des Kantons. Dem halten die Beschwerdeführer entgegen, ein allfälliger Zielkonflikt zwischen dem Bundesrecht und dem kantonalen Recht sei nicht unzulässig; auf jeden Fall genüge ein solcher nicht, um die Initiative als bundesrechtswidrig zu bezeichnen. Die Tragweite des Grundsatzes der Bundestreue oder der bundesstaatlichen Treuepflicht ist in der Doktrin wenig geklärt und durch die Praxis nicht näher umschrieben worden (vgl. ALFRED KÖLZ, Bundestreue als Verfassungsprinzip?, in: ZBl 81/1980 S. 145 ff.; PETER SALADIN, a.a.O., S. 513 ff.). Das Bundesgericht hat hierzu ausgeführt, ein genereller Zielkonflikt des kantonalen Rechts mit dem Bundesrecht genüge noch nicht, um eine Initiative ungültig zu machen; die Kantone seien nicht schlechthin gehindert, andere Ziele zu verfolgen als der Bund ( BGE 109 Ia 140 f.). Wie es sich damit verhält, kann im vorliegenden Fall offengelassen werden. Soweit in der streitigen Initiative lediglich ein Zielkonflikt mit dem Bundesrecht erblickt werden kann, reicht dieser Umstand nicht aus, um diese als bundesrechtswidrig und damit ungültig zu erklären. Hierfür ist vielmehr notwendig, dass in den Kompetenzbereich des Bundes eingegriffen wird bzw. die kantonalen Kompetenzen überschritten oder missbraucht werden (oben E. 5a). d) Nach dem Wortlaut der Initiative sollen die Behörden des Kantons Graubünden verpflichtet werden, mit allen rechtlichen und politischen Mitteln darauf hinzuwirken, dass auf dem Kantonsgebiet keine Atomanlagen errichtet werden. Die Beschwerdeführer erklären zwar, dass damit kein absolutes Verbot von Atomanlagen angestrebt werde. Der Initiativtext zeigt indessen die Stossrichtung des Vorhabens deutlich: Die Behörden sollen sich auch dort mit allen (rechtlichen und politischen) Mitteln gegen Atomanlagen einsetzen, wo solche allenfalls von den Behörden des BGE 111 Ia 303 S. 312 Bundes bewilligt worden sind. Das weist auf die Absicht zu einer absoluten Verhinderung von Atomanlagen hin, ungeachtet des Umstandes, ob dem Kanton irgendwelche Kompetenzen zukommen und ob diese allenfalls missbräuchlich eingesetzt werden. Die Initiative will die Behörden verpflichten, u.a. mit allen politischen Mitteln die Errichtung von Atomanlagen zu verhindern. Aus der Begründung der Initiative geht die Tragweite des Einsatzes dieser politischen Mittel nicht hervor. Es könnte etwa bedeuten, dass sich die Behörden im Rahmen von Vernehmlassungen oder sonstigen Stellungnahmen gegen die Errichtung von Atomanlagen auszusprechen hätten. Prof. Auer misst diesem Teil der Initiative keine selbständige rechtliche Bedeutung zu (AUER, Kurzgutachten, Ziff. 14). In der Tat hat er mehr programmatischen Charakter; er bringt allenfalls einen Zielkonflikt zum Ausdruck und greift damit für sich allein genommen nicht in die Kompetenzaufteilung zwischen Bund und Kantonen ein. Anders verhält es sich mit demjenigen Teil der Initiative, wonach sich die Behörden mit allen rechtlichen Mitteln dagegen zur Wehr zu setzen haben, dass im Kanton Graubünden Atomanlagen errichtet werden. Die Initiative bringt in dieser Hinsicht keinerlei Vorbehalte an und gibt damit zum Ausdruck, dass diese rechtlichen Mittel unabhängig von der Aufgabenteilung zwischen Bund und Kantonen auf jeglichem Sachgebiet eingesetzt werden sollen. Die Beschwerdeführer wenden allerdings ein, sie seien sich der Kompetenzordnung bewusst und wollten die Errichtung von Atomanlagen nur auf jenen Gebieten und mit denjenigen Mitteln verhindern, welche den bestehenden kantonalen Zuständigkeiten entsprechen. Für diese Ansicht ergeben sich indessen aus dem Initiativtext keinerlei Anhaltspunkte. Auch die Begründung der Initiative weist nicht in diese Richtung. Irgendwelche den Kantonen verbleibende Zuständigkeiten im Zusammenhang mit der Errichtung von Atomanlagen werden nicht erwähnt, und es ist auch nicht die Rede davon, dass solche Anlagen etwa aus raumplanerischen oder wasserrechtlichen Gründen verhindert werden sollen. Die Initiative zielt vielmehr unabhängig von der Kompetenzabgrenzung auf eine absolute Verhinderung von Atomanlagen hin. Darüber hinaus verlangt sie, dass jeglicher Ermessensspielraum der Behörden in diese Richtung ausgenützt wird. Sie verbietet damit eine Abwägung der Interessen im Einzelfall nach sachlichen Gründen. Auch in dieser Hinsicht machen die Beschwerdeführer geltend, Text und Begründung der Initiative verlangten von den Behörden nicht, dass die Behörden nach unsachlichen BGE 111 Ia 303 S. 313 Kriterien zu entscheiden hätten. Doch ist dem Initiativtext und seiner Begründung nichts Derartiges zu entnehmen. Es wird beispielsweise nicht darauf hingewiesen, dass Gründe der besondern Schönheit des Misox es verböten, in dieser Gegend eine Atomanlage zu errichten. Nach der Initiative hätten die Behörden vielmehr bei jedem Entscheid, der im weitern Zusammenhang mit Atomanlagen steht, eine zum vornherein negative Haltung einzunehmen. Fragen der Raumplanung oder etwa Rodungsbewilligungen (vgl. Art. 26 FPolV ) könnten daher nicht nach sachgerechten Kriterien gelöst werden. Selbst in den dem Kanton verbleibenden Sachbereichen benützt demnach die Initiative das kantonale Recht und das kantonale Bewilligungsverfahren als Vorwand für die Verhinderung von Atomanlagen und damit für einen Übergriff in die Kompetenz des Bundes. Sie erweist sich demnach als bundesrechtswidrig. Der Übergriff in die Kompetenzen wird im weitern auch durch die dem Initiativtext beigegebene Begründung bestätigt. Darin wird u.a. ausgeführt, Atomanlagen seien eine höchst unsichere Sache und niemand könne und wolle für deren Sicherheit einstehen. Ferner gehe es darum, Energie zu sparen, anstatt solche mit neuen Atomanlagen zu produzieren und sie dann zu verschwenden. Sowohl die Frage nach der Sicherheit als auch diejenige nach dem Bedürfnis von neuen Atomanlagen betreffen indessen Bereiche, welche im bundesrechtlichen Verfahren abschliessend beurteilt wurden und in einem kantonalen Verfahren auch nicht unter einem unterschiedlichen rechtlichen Gesichtswinkel erneut aufgeworfen werden dürfen. Soweit die Initiative aber verlangt, bei der Ermessensausübung in einem kantonalen Verfahren auch solche Gesichtspunkte mit zu berücksichtigen, widerspricht sie dem Bundesrecht. e) Aus diesen Überlegungen ergibt sich, dass die streitige Initiative in unzulässiger Weise in den Kompetenzbereich des Bundes eingreift und damit bundesrechtswidrig ist.</w:t>
      </w:r>
    </w:p>
    <w:p>
      <w:r>
        <w:rPr>
          <w:b/>
        </w:rPr>
        <w:t>E. 7</w:t>
      </w:r>
    </w:p>
    <w:p>
      <w:r>
        <w:t>Der Grosse Rat des Kantons Graubünden hat die hier streitige Initiative nicht nur als bundesrechtswidrig, sondern auch als im Widerspruch zum kantonalen Recht stehend bezeichnet. Im folgenden ist zu prüfen, ob die Initiative auch aus diesem zweiten Grund als ungültig erklärt werden durfte. a) Gemäss Art. 3 Abs. 1 der Verfassung für den Kanton Graubünden (KV) sind auf ein Initiativbegehren hin der Volksabstimmung zu unterbreiten Vorschläge zum Erlass neuer Gesetze und BGE 111 Ia 303 S. 314 grossrätlicher Verordnungen sowie Vorschläge zur Aufhebung oder Änderung von Gesetzen und grossrätlichen Verordnungen, welche schon mindestens zwei Jahre in Kraft gestanden haben. Nach Art. 49 des Gesetzes über die Ausübung der politischen Rechte (GPR) können Initiativen in Form der allgemeinen Anregung oder des ausgearbeiteten Entwurfes eingereicht werden. Der Begriff des Gesetzes kann im materiellen oder formellen Sinn verstanden werden. Welchen Gesetzesbegriff Art. 3 Abs. 1 KV und Art. 49 GPR meinen, ist im Zusammenhang mit weiteren Bestimmungen der Kantonsverfassung festzustellen. Gemäss Art. 2 Abs. 2 KV unterliegen der Volksabstimmung nebst Verfassungsänderungen (Ziff. 1), Staatsverträgen und Konkordaten (Ziff. 2), Beschlüssen des Grossen Rates, durch welche neue Kantonsbehörden aufgestellt werden sollen (Ziff. 5), Kreditbeschlüssen (Ziff. 6a) und anderweitigen Beschlüssen des Grossen Rates, welche derselbe der Volksabstimmung zu unterstellen für gut findet (Ziff. 7), folgende Gegenstände: "3. Gesetze: a) organische Gesetze, bürgerliche und Strafgesetze mit Einschluss derjenigen über das gerichtliche Verfahren in Zivilsachen sowie in Kriminal- und Strafpolizeisachen; b) Verwaltungsgesetze, insbesondere im Steuer-, Schul-, Strassen-, Forst-, Jagd- und Fischerei-, im Gesundheits- und Armenwesen sowie in anderen Gebieten der Verwaltung und Volkswirtschaft; 4. diejenigen Bestimmungen kantonaler Ausführungsverordnungen zu Bundesgesetzen, welche nicht notwendige Folge der letzteren sind, und ihrer Natur nach im Sinne vorstehender Ziffer 3 in das Gebiet der Volksgesetzgebung fallen." Ferner unterstehen gemäss Art. 2bis KV der Volksabstimmung Wasserrechtsverleihungen und interkantonale Verträge. In Art. 2 und 2bis KV werden somit nebst Verfassungsänderungen, Staatsverträgen, Konkordaten, Wasserrechtsverleihungen und interkantonalen Verträgen Gesetze einerseits und Beschlüsse andererseits aufgeführt. Diese Aufgliederung und insbesondere die Aufzählung innerhalb von Art. 2 Ziff. 3 KV lässt darauf schliessen, dass unter Gesetz das Gesetz im materiellen Sinn zu verstehen ist. Die bündnerische Verfassung unterscheidet im übrigen zwischen Gesetzen, grossrätlichen Verordnungen und grossrätlichen Beschlüssen. Gemäss Art. 29 KV hat die Regierung kantonale und eidgenössische Gesetze, Verordnungen und Beschlüsse zu vollziehen und der Grosse Rat hat diesen Vollzug gemäss Art. 15 Abs. 1 KV zu überwachen. Nach Art. 15 Abs. 3 KV erlässt der BGE 111 Ia 303 S. 315 Grosse Rat die nötigen Vollziehungsverordnungen und Ausführungsbestimmungen zu den kantonalen Gesetzen. Gemäss Art. 15 Abs. 4 KV ist der Grosse Rat befugt, in allen Landesangelegenheiten, welche nicht zufolge Art. 2 und 3 KV der Volksabstimmung unterliegen, gültige Verordnungen zu erlassen und Beschlüsse zu fassen. Bei diesen grossrätlichen Verordnungen, wie sie auch in Art. 3 Abs. 1 KV und Art. 49 GPR aufgeführt sind, handelt es sich um Rechtsverordnungen und somit ebenfalls um Gesetze im materiellen Sinn (vgl. WOLF SEILER, Die Organe der Rechtssetzung im Kanton Graubünden, S. 86 ff.). Der Beschluss ist die Form für Verwaltungsverfügungen des Grossen Rates. Dies ergibt sich mit aller Deutlichkeit aus der historischen Entwicklung von Art. 3 KV. In der früheren Fassung von Art. 3 Abs. 1 Ziff. 1 KV war die Volksinitiative nicht nur auf Erlass neuer Gesetze und grossrätlicher Verordnungen, sondern auch in bezug auf grossrätliche Beschlüsse möglich (vgl. SEILER, a.a.O., S. 116). Aus diesem Grund wies GIACOMETTI darauf hin, dass im Kanton Graubünden eine Verwaltungsinitiative zulässig sei (Z. GIACOMETTI, Das Staatsrecht der Schweizerischen Kantone, Zürich 1941, S. 536 f. Anm. 51). Mit der Verfassungsrevision vom 2. März 1980 wurde diese Initiative auf Erlass neuer Beschlüsse sowie Abänderung und Aufhebung von bestehenden Beschlüssen des Grossen Rates aufgehoben. Eine Verwaltungsinitiative existiert demnach heute im Kanton Graubünden nicht mehr. Es besteht somit unter keinem Gesichtspunkt ein Anlass zu bezweifeln, dass Art. 3 Abs. 1 KV und Art. 49 GPR als Gegenstand der Initiative auf Erlass, Änderung oder Aufhebung eines Gesetzes einzig Gesetze im materiellen Sinn, d.h. generell-abstrakte Rechtssetzungserlasse zulassen. b) Rechtssätze, d.h. allgemeine Normen, die verbindlich und auf Verwirklichung ausgerichtet sind, müssen in ihrem Inhalt zumindest minimal bestimmt sein. Andernfalls halten sie gerade, weil ihnen mehr als programmatische Bedeutung zukommt, vor dem Gebot der Rechtssicherheit nicht stand ( BGE 102 Ia 138 , BGE 109 Ia 282 ff. E. 4a, mit Hinweisen). Wie das Bundesgericht in BGE 102 Ia 138 f. festgestellt hat, wurde bereits mehrfach entschieden, dass auf dem Wege der Gesetzesinitiative keine individuell-konkreten Anordnungen vorgeschlagen werden dürfen, wenn sich der Kantonsverfassung entnehmen lässt, dass Inhalt eines Gesetzes nur Rechtssätze generell-abstrakter Natur sein können BGE 111 Ia 303 S. 316 ( BGE 98 Ia 641 E. 3, BGE 89 I 375 E. 3/4, BGE 73 I 108 E. 5). Blosse Programmsätze ohne direkte Verbindlichkeit als Inhalt einer Gesetzesinitiative sind demnach unzulässig, wenn das kantonale Recht einen materiellen Gesetzesbegriff kennt (vgl. BGE 89 I 375 E. 3/4, BGE 96 I 654 E. 8). Allerdings haben nicht schon einzelne programmatische Bestimmungen zur Folge, dass ein Gesetz nicht mehr Gesetz im materiellen Sinn ist ( BGE 102 Ia 138 ). Für die Vereinbarkeit der hier zu beurteilenden Initiative mit Art. 2 und 3 KV ist demnach entscheidend, ob die vorgeschlagenen Verhaltensnormen insgesamt mehr als bloss programmatische Bedeutung besitzen und als Rechtssätze hinreichend bestimmt sind oder ob die Initiative eine eigentliche Verwaltungsinitiative darstellt. c) Nach dem Initiativtext werden die Behörden des Kantons Graubünden verpflichtet, darauf hinzuwirken, dass auf dem Kantonsgebiet keine Atomanlagen errichtet werden oder hierzu vorbereitende Massnahmen vorgenommen werden. Hinsichtlich der Mittel wird lediglich bestimmt, dass dies mit allen rechtlichen und politischen Mitteln zu erfolgen habe. Im Initiativtext und in der Begründung finden sich keine Angaben darüber, an welche Möglichkeiten und Massnahmen die Initianten gedacht haben. Die Beschwerdeführer machen indessen geltend, es gehe bei der Initiative um die Verwirklichung einer Leitidee. Diese soll die Behörden in einer bestimmten energiepolitischen Optik leiten und sie auf diese Optik verpflichten. Der Ermessens- und Beurteilungsspielraum und der politische Einfluss seien im Sinne dieser klaren Zielsetzung einzusetzen. Welche konkreten Handlungen die Behörden jedoch vornehmen sollen, kann der Initiative nicht entnommen werden. Daraus ergibt sich, dass die Initiative in erster Linie programmatischen Charakter hat. Als verpflichtendes Verhaltensrecht im Sinne eines materiellen Gesetzes entbehrt daher die Initiative der notwendigen Bestimmtheit. Die im vorliegenden Fall streitige Initiative unterscheidet sich demnach nicht wesentlich von dem vom Bundesgericht im Fall Albonico beurteilten Initiativbegehren ( BGE 102 Ia 131 ). Die Bündner Initiative für ein Gesetz gegen Atomanlagen und -lagerstätten weist denn auch vielmehr den Charakter einer Verwaltungsinitiative oder allenfalls eines Bündels von Verwaltungsinitiativen auf. Die Behörden sollen verpflichtet werden, sich mit allen (rechtlichen und politischen) Mitteln gegen ein konkretes Projekt wie beispielsweise die Probebohrungen im Misox und allenfalls gegen weitere Projekte für Atomanlagen im Sinne BGE 111 Ia 303 S. 317 von Art. 1 Abs. 2 AtG zur Wehr zu setzen. Verwaltungsinitiativen können indessen, wie oben dargelegt, nicht Gegenstand eines Initiativbegehrens sein. Auch unter diesem Gesichtspunkt verstösst daher die Initiative gegen übergeordnetes kantonales Recht.</w:t>
      </w:r>
    </w:p>
    <w:p>
      <w:r>
        <w:rPr>
          <w:b/>
        </w:rPr>
        <w:t>E. 8</w:t>
      </w:r>
    </w:p>
    <w:p>
      <w:r>
        <w:t>Aus den vorstehenden Erwägungen ergibt sich, dass die Initiative für ein Gesetz gegen Atomanlagen und -lagerstätten sowohl im Widerspruch mit dem Bundesrecht als auch mit dem kantonalen Recht steht. Der Grosse Rat des Kantons Graubünden durfte sie daher als ungültig bezeichnen und sie dem Volk nicht zur Abstimmung unterbreiten, ohne dadurch die politischen Rechte der Beschwerdeführer zu verletzen. Die Beschwerde erweist sich daher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